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>Вступительное слово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>помощника полномочного представителя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 xml:space="preserve">Президента Российской Федерации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/>
          <w:b/>
          <w:bCs/>
          <w:sz w:val="34"/>
          <w:szCs w:val="34"/>
        </w:rPr>
        <w:t>в Уральском федеральном округе на совещании по вопросам текущей ситуации в агропромышленном комплексе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4"/>
          <w:szCs w:val="34"/>
        </w:rPr>
      </w:pPr>
      <w:r>
        <w:rPr>
          <w:rFonts w:cs="Times New Roman"/>
          <w:b/>
          <w:sz w:val="34"/>
          <w:szCs w:val="34"/>
        </w:rPr>
        <w:t>(6 мая 2020 г.)</w:t>
      </w:r>
      <w:r>
        <w:br w:type="page"/>
      </w:r>
    </w:p>
    <w:p>
      <w:pPr>
        <w:pStyle w:val="Style14"/>
        <w:spacing w:lineRule="exact" w:line="360"/>
        <w:ind w:left="0" w:right="-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Уважаемый Николай Николаевич! </w:t>
      </w:r>
    </w:p>
    <w:p>
      <w:pPr>
        <w:pStyle w:val="Style14"/>
        <w:spacing w:lineRule="exact" w:line="360"/>
        <w:ind w:left="0" w:right="-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уважаемые коллеги!</w:t>
      </w:r>
    </w:p>
    <w:p>
      <w:pPr>
        <w:pStyle w:val="Normal"/>
        <w:overflowPunct w:val="false"/>
        <w:autoSpaceDE w:val="false"/>
        <w:spacing w:lineRule="exact" w:line="360" w:before="0" w:after="0"/>
        <w:ind w:left="0" w:right="-1" w:hanging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lineRule="auto" w:line="288" w:before="0" w:after="0"/>
        <w:ind w:left="0" w:right="0" w:firstLine="720"/>
        <w:jc w:val="both"/>
        <w:textAlignment w:val="baseline"/>
        <w:rPr/>
      </w:pPr>
      <w:r>
        <w:rPr>
          <w:rFonts w:cs="Times New Roman"/>
          <w:sz w:val="32"/>
          <w:szCs w:val="32"/>
        </w:rPr>
        <w:t>На совещании с губернаторами</w:t>
      </w:r>
      <w:r>
        <w:rPr>
          <w:rFonts w:cs="Times New Roman"/>
          <w:b/>
          <w:sz w:val="32"/>
          <w:szCs w:val="32"/>
        </w:rPr>
        <w:t>, которое состоялось под вашим председательством 13 апреля,</w:t>
      </w:r>
      <w:r>
        <w:rPr>
          <w:rFonts w:cs="Times New Roman"/>
          <w:sz w:val="32"/>
          <w:szCs w:val="32"/>
        </w:rPr>
        <w:t xml:space="preserve"> мы уже обсуждали, что и в условиях пандемии реализация </w:t>
      </w:r>
      <w:r>
        <w:rPr>
          <w:rFonts w:cs="Times New Roman"/>
          <w:b/>
          <w:sz w:val="32"/>
          <w:szCs w:val="32"/>
        </w:rPr>
        <w:t>национальных проектов</w:t>
      </w:r>
      <w:r>
        <w:rPr>
          <w:rFonts w:cs="Times New Roman"/>
          <w:sz w:val="32"/>
          <w:szCs w:val="32"/>
        </w:rPr>
        <w:t xml:space="preserve"> должна продолжаться.</w:t>
      </w:r>
    </w:p>
    <w:p>
      <w:pPr>
        <w:pStyle w:val="Normal"/>
        <w:overflowPunct w:val="false"/>
        <w:autoSpaceDE w:val="false"/>
        <w:spacing w:lineRule="auto" w:line="288" w:before="0" w:after="0"/>
        <w:ind w:left="0" w:right="0" w:firstLine="72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В то же время мировая</w:t>
      </w:r>
      <w:r>
        <w:rPr>
          <w:rFonts w:cs="Times New Roman"/>
          <w:sz w:val="32"/>
          <w:szCs w:val="32"/>
        </w:rPr>
        <w:t xml:space="preserve"> обстановка может негативно сказаться на  реализации федерального </w:t>
      </w:r>
      <w:r>
        <w:rPr>
          <w:rFonts w:cs="Times New Roman"/>
          <w:b/>
          <w:sz w:val="32"/>
          <w:szCs w:val="32"/>
        </w:rPr>
        <w:t>проекта «Экспорт продукции АПК»</w:t>
      </w:r>
      <w:r>
        <w:rPr>
          <w:rFonts w:cs="Times New Roman"/>
          <w:sz w:val="32"/>
          <w:szCs w:val="32"/>
        </w:rPr>
        <w:t xml:space="preserve">.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12 апреля текущего года</w:t>
      </w:r>
      <w:r>
        <w:rPr>
          <w:rFonts w:cs="Times New Roman"/>
          <w:sz w:val="32"/>
          <w:szCs w:val="32"/>
        </w:rPr>
        <w:t xml:space="preserve"> утверждена Стратегия развития агропромышленного и рыбохозяйственного комплекса Российской Федерации на период до 2030 года, в которой говорится о том, </w:t>
      </w:r>
      <w:r>
        <w:rPr>
          <w:rFonts w:cs="Times New Roman"/>
          <w:b/>
          <w:sz w:val="32"/>
          <w:szCs w:val="32"/>
        </w:rPr>
        <w:t>что распространение новой коронавирусной инфекции станет предпосылкой снижения экспорта продукции АПК</w:t>
      </w:r>
      <w:r>
        <w:rPr>
          <w:rFonts w:cs="Times New Roman"/>
          <w:sz w:val="32"/>
          <w:szCs w:val="32"/>
        </w:rPr>
        <w:t>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Пандемия привела к общему снижению деловой активности</w:t>
      </w:r>
      <w:r>
        <w:rPr>
          <w:rFonts w:cs="Times New Roman"/>
          <w:sz w:val="32"/>
          <w:szCs w:val="32"/>
        </w:rPr>
        <w:t xml:space="preserve"> в мире и снижению покупательского спроса, что влечет за собой серьезные риски и в части экспорта продовольствия.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Кроме того, квоты на вывоз зерна</w:t>
      </w:r>
      <w:r>
        <w:rPr>
          <w:rFonts w:cs="Times New Roman"/>
          <w:sz w:val="32"/>
          <w:szCs w:val="32"/>
        </w:rPr>
        <w:t xml:space="preserve">, установленные Минсельхозом России с 1 апреля 2020 года, уже 26 апреля были выбраны в полном объеме.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До 1 июля текущего года</w:t>
      </w:r>
      <w:r>
        <w:rPr>
          <w:rFonts w:cs="Times New Roman"/>
          <w:sz w:val="32"/>
          <w:szCs w:val="32"/>
        </w:rPr>
        <w:t xml:space="preserve"> экспорт пшеницы, ржи, ячменя в страны, не являющимися членами Евразийского экономического союза, будет приостановлен.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Вместе с тем новая Стратегия</w:t>
      </w:r>
      <w:r>
        <w:rPr>
          <w:rFonts w:cs="Times New Roman"/>
          <w:sz w:val="32"/>
          <w:szCs w:val="32"/>
        </w:rPr>
        <w:t xml:space="preserve"> из множества целевых показателей отрасли, на второе место ставит </w:t>
      </w:r>
      <w:r>
        <w:rPr>
          <w:rFonts w:cs="Times New Roman"/>
          <w:b/>
          <w:sz w:val="32"/>
          <w:szCs w:val="32"/>
        </w:rPr>
        <w:t>именно объем экспорта АПК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i/>
          <w:sz w:val="32"/>
          <w:szCs w:val="32"/>
        </w:rPr>
        <w:t>(справочно: на первом месте – индекс производства продукции сельского хозяйства)</w:t>
      </w:r>
      <w:r>
        <w:rPr>
          <w:rFonts w:cs="Times New Roman"/>
          <w:sz w:val="32"/>
          <w:szCs w:val="32"/>
        </w:rPr>
        <w:t>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Планы остаются такие же</w:t>
      </w:r>
      <w:r>
        <w:rPr>
          <w:rFonts w:cs="Times New Roman"/>
          <w:sz w:val="32"/>
          <w:szCs w:val="32"/>
        </w:rPr>
        <w:t xml:space="preserve">, как и были изначально утверждены национальным проектом – </w:t>
      </w:r>
      <w:r>
        <w:rPr>
          <w:rFonts w:cs="Times New Roman"/>
          <w:b/>
          <w:sz w:val="32"/>
          <w:szCs w:val="32"/>
        </w:rPr>
        <w:t>45 миллиардов долларов США</w:t>
      </w:r>
      <w:r>
        <w:rPr>
          <w:rFonts w:cs="Times New Roman"/>
          <w:sz w:val="32"/>
          <w:szCs w:val="32"/>
        </w:rPr>
        <w:t xml:space="preserve"> в 2024 году. Плановый показатель для Уральского федерального округа – </w:t>
      </w:r>
      <w:r>
        <w:rPr>
          <w:rFonts w:cs="Times New Roman"/>
          <w:b/>
          <w:sz w:val="32"/>
          <w:szCs w:val="32"/>
        </w:rPr>
        <w:t>595 миллионов</w:t>
      </w:r>
      <w:r>
        <w:rPr>
          <w:rFonts w:cs="Times New Roman"/>
          <w:sz w:val="32"/>
          <w:szCs w:val="32"/>
        </w:rPr>
        <w:t xml:space="preserve"> долларов США.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Учитывая, что в прошлом году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экспорт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 xml:space="preserve">продовольствия составил 316 миллионов долларов </w:t>
      </w:r>
      <w:r>
        <w:rPr>
          <w:rFonts w:cs="Times New Roman"/>
          <w:i/>
          <w:sz w:val="32"/>
          <w:szCs w:val="32"/>
        </w:rPr>
        <w:t>(справоч. все субъекты УФО выполнили годовые показатели)</w:t>
      </w:r>
      <w:r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b/>
          <w:sz w:val="32"/>
          <w:szCs w:val="32"/>
        </w:rPr>
        <w:t>задачи по приросту в 2024 году стоят амбициозные</w:t>
      </w:r>
      <w:r>
        <w:rPr>
          <w:rFonts w:cs="Times New Roman"/>
          <w:sz w:val="32"/>
          <w:szCs w:val="32"/>
        </w:rPr>
        <w:t xml:space="preserve">.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Прошу доложить оперативную информацию</w:t>
      </w:r>
      <w:r>
        <w:rPr>
          <w:rFonts w:cs="Times New Roman"/>
          <w:sz w:val="32"/>
          <w:szCs w:val="32"/>
        </w:rPr>
        <w:t xml:space="preserve"> о результатах реализации проекта «Экспорт продукции АПК» в регионах в </w:t>
      </w:r>
      <w:r>
        <w:rPr>
          <w:rFonts w:cs="Times New Roman"/>
          <w:b/>
          <w:sz w:val="32"/>
          <w:szCs w:val="32"/>
        </w:rPr>
        <w:t>первом квартале текущего года</w:t>
      </w:r>
      <w:r>
        <w:rPr>
          <w:rFonts w:cs="Times New Roman"/>
          <w:sz w:val="32"/>
          <w:szCs w:val="32"/>
        </w:rPr>
        <w:t xml:space="preserve"> и дать оценку исполнения показателей по году, в том числе </w:t>
      </w:r>
      <w:r>
        <w:rPr>
          <w:rFonts w:cs="Times New Roman"/>
          <w:b/>
          <w:sz w:val="32"/>
          <w:szCs w:val="32"/>
        </w:rPr>
        <w:t>предложения, которые целесообразно рассмотреть на федеральном уровне для достижения плановых показателей.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Коллеги, по данным Минсельхоза России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только 6 экспортеров</w:t>
      </w:r>
      <w:r>
        <w:rPr>
          <w:rFonts w:cs="Times New Roman"/>
          <w:sz w:val="32"/>
          <w:szCs w:val="32"/>
        </w:rPr>
        <w:t xml:space="preserve"> Уральского федерального округа воспользовались льготным кредитованием в рамках 512го Постановления Правительства Российской Федерации </w:t>
      </w:r>
      <w:r>
        <w:rPr>
          <w:rFonts w:cs="Times New Roman"/>
          <w:i/>
          <w:sz w:val="32"/>
          <w:szCs w:val="32"/>
        </w:rPr>
        <w:t>(справоч. Свердловская область – 1, Челябинская область – 2, ЯНАО – 1, Курганская область -1, Тюменская область -1)</w:t>
      </w:r>
      <w:r>
        <w:rPr>
          <w:rFonts w:cs="Times New Roman"/>
          <w:sz w:val="32"/>
          <w:szCs w:val="32"/>
        </w:rPr>
        <w:t xml:space="preserve">.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Прошу вас провести анализ потребностей региональных сельхозпроизводителей</w:t>
      </w:r>
      <w:r>
        <w:rPr>
          <w:rFonts w:cs="Times New Roman"/>
          <w:sz w:val="32"/>
          <w:szCs w:val="32"/>
        </w:rPr>
        <w:t xml:space="preserve"> в такой поддержке, необходимо усилить работу в данном направлении и помочь каждому экспортеру получить необходимые меры поддержки.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Аппарат полномочного представителя</w:t>
      </w:r>
      <w:r>
        <w:rPr>
          <w:rFonts w:cs="Times New Roman"/>
          <w:sz w:val="32"/>
          <w:szCs w:val="32"/>
        </w:rPr>
        <w:t xml:space="preserve"> осуществляет мониторинг </w:t>
      </w:r>
      <w:r>
        <w:rPr>
          <w:rFonts w:cs="Times New Roman"/>
          <w:b/>
          <w:sz w:val="32"/>
          <w:szCs w:val="32"/>
        </w:rPr>
        <w:t xml:space="preserve"> цен на продовольственном рынке.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В период с 30 марта по 30 апреля динамика розничных цен на продукты питания с учетом сезонности соответствовала уровню прошлого года. 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b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 xml:space="preserve">Вместе с тем, в ряде регионов по таким позициям, </w:t>
      </w:r>
      <w:r>
        <w:rPr>
          <w:rFonts w:cs="Times New Roman"/>
          <w:sz w:val="32"/>
          <w:szCs w:val="32"/>
        </w:rPr>
        <w:t>как свинина, курица, гречка и некоторым другим был отмечен рост цен более, чем на 10%.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Также значительно выросли цены на маски медицинские и на средства личной дезинфекции.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С учетом данных мониторинга</w:t>
      </w:r>
      <w:r>
        <w:rPr>
          <w:rFonts w:cs="Times New Roman"/>
          <w:sz w:val="32"/>
          <w:szCs w:val="32"/>
        </w:rPr>
        <w:t xml:space="preserve"> в начале апреля Николай Николаевич обратился к руководителю ФАС России </w:t>
      </w:r>
      <w:r>
        <w:rPr>
          <w:rFonts w:cs="Times New Roman"/>
          <w:b/>
          <w:sz w:val="32"/>
          <w:szCs w:val="32"/>
        </w:rPr>
        <w:t>Артемьеву Игорю Юрьевичу</w:t>
      </w:r>
      <w:r>
        <w:rPr>
          <w:rFonts w:cs="Times New Roman"/>
          <w:sz w:val="32"/>
          <w:szCs w:val="32"/>
        </w:rPr>
        <w:t xml:space="preserve"> с предложением о необходимости разработки механизма эффективного и оперативного осуществления контроля розничных цен в отношении социально значимых продуктов и непродовольственных товаров.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В результате проведенной работы</w:t>
      </w:r>
      <w:r>
        <w:rPr>
          <w:rFonts w:cs="Times New Roman"/>
          <w:sz w:val="32"/>
          <w:szCs w:val="32"/>
        </w:rPr>
        <w:t xml:space="preserve"> всем территориальным органам ФАС России </w:t>
      </w:r>
      <w:r>
        <w:rPr>
          <w:rFonts w:cs="Times New Roman"/>
          <w:b/>
          <w:sz w:val="32"/>
          <w:szCs w:val="32"/>
        </w:rPr>
        <w:t>совместно с органами прокуратуры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было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поручено</w:t>
      </w:r>
      <w:r>
        <w:rPr>
          <w:rFonts w:cs="Times New Roman"/>
          <w:sz w:val="32"/>
          <w:szCs w:val="32"/>
        </w:rPr>
        <w:t xml:space="preserve"> в срок до 25 апреля сформировать оперативные группы по контролю за ценами на продукты питания, товары первой необходимости, лекарственные средства и медицинские изделия.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Коллеги, необходимо организовать взаимодействие с этими рабочими группами и</w:t>
      </w:r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>в случае необоснованного роста цен на указанные группы товаров незамедлительно реагировать.</w:t>
      </w:r>
    </w:p>
    <w:p>
      <w:pPr>
        <w:pStyle w:val="Normal"/>
        <w:overflowPunct w:val="false"/>
        <w:autoSpaceDE w:val="false"/>
        <w:spacing w:lineRule="auto" w:line="288" w:before="0" w:after="0"/>
        <w:ind w:left="0" w:right="0" w:firstLine="720"/>
        <w:jc w:val="both"/>
        <w:textAlignment w:val="baseline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</w:r>
    </w:p>
    <w:p>
      <w:pPr>
        <w:pStyle w:val="Normal"/>
        <w:overflowPunct w:val="false"/>
        <w:autoSpaceDE w:val="false"/>
        <w:spacing w:lineRule="auto" w:line="288" w:before="0" w:after="0"/>
        <w:ind w:left="0" w:right="0" w:firstLine="720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Кроме того, Председателем Правительства РФ поручено</w:t>
      </w:r>
      <w:r>
        <w:rPr>
          <w:rFonts w:cs="Times New Roman"/>
          <w:sz w:val="32"/>
          <w:szCs w:val="32"/>
        </w:rPr>
        <w:t xml:space="preserve"> обеспечить бесперебойную работу всех организаций и объектов, создающих условия для функционирования товаропроводящей сети,</w:t>
      </w:r>
      <w:r>
        <w:rPr>
          <w:rFonts w:cs="Times New Roman"/>
          <w:b/>
          <w:sz w:val="32"/>
          <w:szCs w:val="32"/>
        </w:rPr>
        <w:t xml:space="preserve"> снабжающей население продовольственными товарами и товарами первой необходимости</w:t>
      </w:r>
      <w:r>
        <w:rPr>
          <w:rFonts w:cs="Times New Roman"/>
          <w:sz w:val="32"/>
          <w:szCs w:val="32"/>
        </w:rPr>
        <w:t>.</w:t>
      </w:r>
    </w:p>
    <w:p>
      <w:pPr>
        <w:pStyle w:val="Normal"/>
        <w:overflowPunct w:val="false"/>
        <w:autoSpaceDE w:val="false"/>
        <w:spacing w:lineRule="auto" w:line="288" w:before="0" w:after="0"/>
        <w:ind w:left="0" w:right="0" w:firstLine="72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lineRule="auto" w:line="288" w:before="0" w:after="0"/>
        <w:ind w:left="0" w:right="0" w:firstLine="720"/>
        <w:jc w:val="both"/>
        <w:textAlignment w:val="baseline"/>
        <w:rPr/>
      </w:pPr>
      <w:r>
        <w:rPr>
          <w:rFonts w:cs="Times New Roman"/>
          <w:b/>
          <w:sz w:val="32"/>
          <w:szCs w:val="32"/>
        </w:rPr>
        <w:t>Особое внимание прошу уделить организации работы</w:t>
      </w:r>
      <w:r>
        <w:rPr>
          <w:rFonts w:cs="Times New Roman"/>
          <w:sz w:val="32"/>
          <w:szCs w:val="32"/>
        </w:rPr>
        <w:t xml:space="preserve"> на предприятиях, технологические процессы которых предполагают </w:t>
      </w:r>
      <w:r>
        <w:rPr>
          <w:rFonts w:cs="Times New Roman"/>
          <w:b/>
          <w:sz w:val="32"/>
          <w:szCs w:val="32"/>
        </w:rPr>
        <w:t>значительную концентрацию людей</w:t>
      </w:r>
      <w:r>
        <w:rPr>
          <w:rFonts w:cs="Times New Roman"/>
          <w:sz w:val="32"/>
          <w:szCs w:val="32"/>
        </w:rPr>
        <w:t xml:space="preserve"> – убойные, перерабатывающие, сортировочные цеха. 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Спасибо за внимание, доклад окончен.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___________</w:t>
      </w:r>
    </w:p>
    <w:p>
      <w:pPr>
        <w:pStyle w:val="Normal"/>
        <w:overflowPunct w:val="false"/>
        <w:autoSpaceDE w:val="false"/>
        <w:spacing w:before="0" w:after="0"/>
        <w:ind w:left="0" w:right="-1" w:firstLine="709"/>
        <w:jc w:val="both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cs="Times New Roman"/>
          <w:color w:val="FF0000"/>
          <w:sz w:val="32"/>
          <w:szCs w:val="3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4</Pages>
  <Words>563</Words>
  <CharactersWithSpaces>4398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2020-05-06T13:36:43Z</dcterms:created>
  <dc:creator/>
  <dc:description/>
  <dc:language>ru-RU</dc:language>
  <cp:lastModifiedBy/>
  <dcterms:modified xsi:type="dcterms:W3CDTF">2020-05-06T13:37:23Z</dcterms:modified>
  <cp:revision>1</cp:revision>
  <dc:subject/>
  <dc:title/>
</cp:coreProperties>
</file>