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847" cy="6943061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lastRenderedPageBreak/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31F"/>
    <w:rsid w:val="000267B8"/>
    <w:rsid w:val="00027C53"/>
    <w:rsid w:val="00030EF5"/>
    <w:rsid w:val="000342DA"/>
    <w:rsid w:val="0004250A"/>
    <w:rsid w:val="000433AB"/>
    <w:rsid w:val="00046E03"/>
    <w:rsid w:val="000479D5"/>
    <w:rsid w:val="00063362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1D1A"/>
    <w:rsid w:val="001F40B5"/>
    <w:rsid w:val="001F4A10"/>
    <w:rsid w:val="001F5AB0"/>
    <w:rsid w:val="001F7E05"/>
    <w:rsid w:val="0021307B"/>
    <w:rsid w:val="002149A9"/>
    <w:rsid w:val="00215641"/>
    <w:rsid w:val="00215DC3"/>
    <w:rsid w:val="00222AE1"/>
    <w:rsid w:val="00240E1E"/>
    <w:rsid w:val="00261A9A"/>
    <w:rsid w:val="00262D97"/>
    <w:rsid w:val="002803E1"/>
    <w:rsid w:val="002963B6"/>
    <w:rsid w:val="002B3509"/>
    <w:rsid w:val="002B4917"/>
    <w:rsid w:val="002C7C2C"/>
    <w:rsid w:val="002D24AC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7C3"/>
    <w:rsid w:val="0033210B"/>
    <w:rsid w:val="003324E3"/>
    <w:rsid w:val="00332C0F"/>
    <w:rsid w:val="00332F67"/>
    <w:rsid w:val="003369EF"/>
    <w:rsid w:val="00342016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5039"/>
    <w:rsid w:val="00377926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C0ED4"/>
    <w:rsid w:val="003C206C"/>
    <w:rsid w:val="003D32A7"/>
    <w:rsid w:val="003D3A19"/>
    <w:rsid w:val="003D3ABB"/>
    <w:rsid w:val="003D7C11"/>
    <w:rsid w:val="003E2787"/>
    <w:rsid w:val="003F2707"/>
    <w:rsid w:val="003F4D6F"/>
    <w:rsid w:val="003F5913"/>
    <w:rsid w:val="0041575D"/>
    <w:rsid w:val="00415D05"/>
    <w:rsid w:val="004213D1"/>
    <w:rsid w:val="0042358E"/>
    <w:rsid w:val="00430B52"/>
    <w:rsid w:val="00432DE5"/>
    <w:rsid w:val="00433030"/>
    <w:rsid w:val="00434EC9"/>
    <w:rsid w:val="00443931"/>
    <w:rsid w:val="00446255"/>
    <w:rsid w:val="004465B7"/>
    <w:rsid w:val="00455292"/>
    <w:rsid w:val="00463AE0"/>
    <w:rsid w:val="004707F9"/>
    <w:rsid w:val="004867F9"/>
    <w:rsid w:val="00491B1F"/>
    <w:rsid w:val="00493392"/>
    <w:rsid w:val="00493E4C"/>
    <w:rsid w:val="004A0CA6"/>
    <w:rsid w:val="004A306F"/>
    <w:rsid w:val="004A3CB2"/>
    <w:rsid w:val="004A7372"/>
    <w:rsid w:val="004B3FE0"/>
    <w:rsid w:val="004D2B56"/>
    <w:rsid w:val="004D362B"/>
    <w:rsid w:val="004F5CBD"/>
    <w:rsid w:val="004F5F50"/>
    <w:rsid w:val="005047E2"/>
    <w:rsid w:val="00506D1B"/>
    <w:rsid w:val="00510550"/>
    <w:rsid w:val="005117CC"/>
    <w:rsid w:val="00517D5A"/>
    <w:rsid w:val="00521952"/>
    <w:rsid w:val="00522717"/>
    <w:rsid w:val="00523802"/>
    <w:rsid w:val="00525367"/>
    <w:rsid w:val="00525E49"/>
    <w:rsid w:val="005351D0"/>
    <w:rsid w:val="00544124"/>
    <w:rsid w:val="00557DD1"/>
    <w:rsid w:val="0056395A"/>
    <w:rsid w:val="005741CA"/>
    <w:rsid w:val="00574786"/>
    <w:rsid w:val="00580E4F"/>
    <w:rsid w:val="005819E0"/>
    <w:rsid w:val="00581BA6"/>
    <w:rsid w:val="0059032C"/>
    <w:rsid w:val="005949BA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5F65FE"/>
    <w:rsid w:val="00626DF2"/>
    <w:rsid w:val="006314E3"/>
    <w:rsid w:val="00631C96"/>
    <w:rsid w:val="006350A8"/>
    <w:rsid w:val="00641AC7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47893"/>
    <w:rsid w:val="00750B5E"/>
    <w:rsid w:val="007523FE"/>
    <w:rsid w:val="007554E7"/>
    <w:rsid w:val="007731F4"/>
    <w:rsid w:val="00773AE1"/>
    <w:rsid w:val="007745A5"/>
    <w:rsid w:val="00774881"/>
    <w:rsid w:val="007755F3"/>
    <w:rsid w:val="007763D3"/>
    <w:rsid w:val="0077667C"/>
    <w:rsid w:val="0079646B"/>
    <w:rsid w:val="0079651F"/>
    <w:rsid w:val="007A26F1"/>
    <w:rsid w:val="007A2A23"/>
    <w:rsid w:val="007A4A82"/>
    <w:rsid w:val="007B0276"/>
    <w:rsid w:val="007B5AC0"/>
    <w:rsid w:val="007C07BE"/>
    <w:rsid w:val="007C107A"/>
    <w:rsid w:val="007C3262"/>
    <w:rsid w:val="007C5E7E"/>
    <w:rsid w:val="007E0145"/>
    <w:rsid w:val="007E0EBA"/>
    <w:rsid w:val="007E1BE7"/>
    <w:rsid w:val="007E72D7"/>
    <w:rsid w:val="007F0FF1"/>
    <w:rsid w:val="007F2C44"/>
    <w:rsid w:val="00810C22"/>
    <w:rsid w:val="0081221B"/>
    <w:rsid w:val="0081552F"/>
    <w:rsid w:val="00815E2A"/>
    <w:rsid w:val="008234CC"/>
    <w:rsid w:val="008235C9"/>
    <w:rsid w:val="00823847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2269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27EB5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06569"/>
    <w:rsid w:val="00A11674"/>
    <w:rsid w:val="00A13FF3"/>
    <w:rsid w:val="00A217D0"/>
    <w:rsid w:val="00A26659"/>
    <w:rsid w:val="00A32F93"/>
    <w:rsid w:val="00A33F25"/>
    <w:rsid w:val="00A4208C"/>
    <w:rsid w:val="00A47DBF"/>
    <w:rsid w:val="00A52B91"/>
    <w:rsid w:val="00A64308"/>
    <w:rsid w:val="00A64432"/>
    <w:rsid w:val="00A66757"/>
    <w:rsid w:val="00A72173"/>
    <w:rsid w:val="00A75285"/>
    <w:rsid w:val="00A7626F"/>
    <w:rsid w:val="00A8019D"/>
    <w:rsid w:val="00A83B84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6A3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45348"/>
    <w:rsid w:val="00B51EB4"/>
    <w:rsid w:val="00B54584"/>
    <w:rsid w:val="00B618B7"/>
    <w:rsid w:val="00B61EFB"/>
    <w:rsid w:val="00B666E9"/>
    <w:rsid w:val="00B84627"/>
    <w:rsid w:val="00BA08E0"/>
    <w:rsid w:val="00BA4D4E"/>
    <w:rsid w:val="00BB3300"/>
    <w:rsid w:val="00BB5AFD"/>
    <w:rsid w:val="00BC0CA6"/>
    <w:rsid w:val="00BD1DF1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6BEB"/>
    <w:rsid w:val="00C578FC"/>
    <w:rsid w:val="00C62B92"/>
    <w:rsid w:val="00C630DF"/>
    <w:rsid w:val="00C63F06"/>
    <w:rsid w:val="00C76B86"/>
    <w:rsid w:val="00C8205F"/>
    <w:rsid w:val="00C82B8E"/>
    <w:rsid w:val="00C87CA3"/>
    <w:rsid w:val="00C91739"/>
    <w:rsid w:val="00C93546"/>
    <w:rsid w:val="00C9558F"/>
    <w:rsid w:val="00C95EF8"/>
    <w:rsid w:val="00CA5210"/>
    <w:rsid w:val="00CA5CA6"/>
    <w:rsid w:val="00CB0BB3"/>
    <w:rsid w:val="00CB3D72"/>
    <w:rsid w:val="00CB679D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26638"/>
    <w:rsid w:val="00D315A2"/>
    <w:rsid w:val="00D31CD7"/>
    <w:rsid w:val="00D32718"/>
    <w:rsid w:val="00D32935"/>
    <w:rsid w:val="00D35000"/>
    <w:rsid w:val="00D374B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0B81"/>
    <w:rsid w:val="00DD3EF1"/>
    <w:rsid w:val="00DE1333"/>
    <w:rsid w:val="00DE20D5"/>
    <w:rsid w:val="00DE2D82"/>
    <w:rsid w:val="00DE6532"/>
    <w:rsid w:val="00DF3661"/>
    <w:rsid w:val="00E0420E"/>
    <w:rsid w:val="00E0711E"/>
    <w:rsid w:val="00E16B6F"/>
    <w:rsid w:val="00E205D5"/>
    <w:rsid w:val="00E21C4E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A7A44"/>
    <w:rsid w:val="00EB16BF"/>
    <w:rsid w:val="00EB3690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03ED"/>
    <w:rsid w:val="00F040DC"/>
    <w:rsid w:val="00F04C32"/>
    <w:rsid w:val="00F1033D"/>
    <w:rsid w:val="00F12BC6"/>
    <w:rsid w:val="00F14CAD"/>
    <w:rsid w:val="00F15024"/>
    <w:rsid w:val="00F161BE"/>
    <w:rsid w:val="00F22528"/>
    <w:rsid w:val="00F2254D"/>
    <w:rsid w:val="00F22FC8"/>
    <w:rsid w:val="00F23152"/>
    <w:rsid w:val="00F23864"/>
    <w:rsid w:val="00F365B1"/>
    <w:rsid w:val="00F36996"/>
    <w:rsid w:val="00F37140"/>
    <w:rsid w:val="00F45898"/>
    <w:rsid w:val="00F46BF6"/>
    <w:rsid w:val="00F52B28"/>
    <w:rsid w:val="00F55EC3"/>
    <w:rsid w:val="00F601F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1B04"/>
    <w:rsid w:val="00FC2217"/>
    <w:rsid w:val="00FC4B30"/>
    <w:rsid w:val="00FD550B"/>
    <w:rsid w:val="00FD638F"/>
    <w:rsid w:val="00FD6ACD"/>
    <w:rsid w:val="00FD7300"/>
    <w:rsid w:val="00FE564C"/>
    <w:rsid w:val="00FF0F86"/>
    <w:rsid w:val="00FF1284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0057331543234552E-2"/>
          <c:y val="2.7044779937624892E-3"/>
          <c:w val="0.97297768066681534"/>
          <c:h val="0.88178910277051414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38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421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611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6897323318456528E-3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1.1057585543742601E-2"/>
                  <c:y val="-1.7198084353168271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303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1.7200140305042525E-2"/>
                  <c:y val="-4.2039494227101536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7581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4038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54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4214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dLbl>
              <c:idx val="163"/>
              <c:delete val="1"/>
            </c:dLbl>
            <c:dLbl>
              <c:idx val="164"/>
              <c:delete val="1"/>
            </c:dLbl>
            <c:dLbl>
              <c:idx val="165"/>
              <c:delete val="1"/>
            </c:dLbl>
            <c:dLbl>
              <c:idx val="166"/>
              <c:delete val="1"/>
            </c:dLbl>
            <c:dLbl>
              <c:idx val="167"/>
              <c:layout>
                <c:manualLayout>
                  <c:x val="-1.3517665130568363E-2"/>
                  <c:y val="5.7333970377449455E-3"/>
                </c:manualLayout>
              </c:layout>
              <c:showVal val="1"/>
            </c:dLbl>
            <c:dLbl>
              <c:idx val="168"/>
              <c:delete val="1"/>
            </c:dLbl>
            <c:dLbl>
              <c:idx val="169"/>
              <c:delete val="1"/>
            </c:dLbl>
            <c:dLbl>
              <c:idx val="170"/>
              <c:delete val="1"/>
            </c:dLbl>
            <c:dLbl>
              <c:idx val="171"/>
              <c:delete val="1"/>
            </c:dLbl>
            <c:dLbl>
              <c:idx val="172"/>
              <c:delete val="1"/>
            </c:dLbl>
            <c:dLbl>
              <c:idx val="173"/>
              <c:layout>
                <c:manualLayout>
                  <c:x val="-1.7204301075268841E-2"/>
                  <c:y val="-1.9111323459149548E-2"/>
                </c:manualLayout>
              </c:layout>
              <c:showVal val="1"/>
            </c:dLbl>
            <c:dLbl>
              <c:idx val="174"/>
              <c:layout>
                <c:manualLayout>
                  <c:x val="-7.3732718894009728E-3"/>
                  <c:y val="2.2933588150979654E-2"/>
                </c:manualLayout>
              </c:layout>
              <c:showVal val="1"/>
            </c:dLbl>
            <c:dLbl>
              <c:idx val="175"/>
              <c:delete val="1"/>
            </c:dLbl>
            <c:dLbl>
              <c:idx val="176"/>
              <c:delete val="1"/>
            </c:dLbl>
            <c:dLbl>
              <c:idx val="177"/>
              <c:delete val="1"/>
            </c:dLbl>
            <c:dLbl>
              <c:idx val="178"/>
              <c:delete val="1"/>
            </c:dLbl>
            <c:dLbl>
              <c:idx val="179"/>
              <c:delete val="1"/>
            </c:dLbl>
            <c:dLbl>
              <c:idx val="180"/>
              <c:delete val="1"/>
            </c:dLbl>
            <c:dLbl>
              <c:idx val="181"/>
              <c:delete val="1"/>
            </c:dLbl>
            <c:dLbl>
              <c:idx val="182"/>
              <c:delete val="1"/>
            </c:dLbl>
            <c:dLbl>
              <c:idx val="183"/>
              <c:delete val="1"/>
            </c:dLbl>
            <c:dLbl>
              <c:idx val="184"/>
              <c:delete val="1"/>
            </c:dLbl>
            <c:dLbl>
              <c:idx val="185"/>
              <c:delete val="1"/>
            </c:dLbl>
            <c:dLbl>
              <c:idx val="186"/>
              <c:delete val="1"/>
            </c:dLbl>
            <c:dLbl>
              <c:idx val="187"/>
              <c:delete val="1"/>
            </c:dLbl>
            <c:dLbl>
              <c:idx val="188"/>
              <c:delete val="1"/>
            </c:dLbl>
            <c:dLbl>
              <c:idx val="189"/>
              <c:delete val="1"/>
            </c:dLbl>
            <c:dLbl>
              <c:idx val="190"/>
              <c:delete val="1"/>
            </c:dLbl>
            <c:dLbl>
              <c:idx val="191"/>
              <c:delete val="1"/>
            </c:dLbl>
            <c:dLbl>
              <c:idx val="192"/>
              <c:delete val="1"/>
            </c:dLbl>
            <c:dLbl>
              <c:idx val="193"/>
              <c:delete val="1"/>
            </c:dLbl>
            <c:dLbl>
              <c:idx val="194"/>
              <c:delete val="1"/>
            </c:dLbl>
            <c:dLbl>
              <c:idx val="195"/>
              <c:layout>
                <c:manualLayout>
                  <c:x val="0"/>
                  <c:y val="-1.6462479589333872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Лист1!$AP$1:$IC$1</c:f>
              <c:numCache>
                <c:formatCode>d/m;@</c:formatCode>
                <c:ptCount val="196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</c:numCache>
            </c:numRef>
          </c:cat>
          <c:val>
            <c:numRef>
              <c:f>Лист1!$AP$8:$IC$8</c:f>
              <c:numCache>
                <c:formatCode>0</c:formatCode>
                <c:ptCount val="196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  <c:pt idx="164">
                  <c:v>772</c:v>
                </c:pt>
                <c:pt idx="165">
                  <c:v>786</c:v>
                </c:pt>
                <c:pt idx="166">
                  <c:v>868</c:v>
                </c:pt>
                <c:pt idx="167">
                  <c:v>854</c:v>
                </c:pt>
                <c:pt idx="168">
                  <c:v>874</c:v>
                </c:pt>
                <c:pt idx="169">
                  <c:v>878</c:v>
                </c:pt>
                <c:pt idx="170">
                  <c:v>894</c:v>
                </c:pt>
                <c:pt idx="171">
                  <c:v>937</c:v>
                </c:pt>
                <c:pt idx="172">
                  <c:v>945</c:v>
                </c:pt>
                <c:pt idx="173">
                  <c:v>1092</c:v>
                </c:pt>
                <c:pt idx="174">
                  <c:v>955</c:v>
                </c:pt>
                <c:pt idx="175">
                  <c:v>970</c:v>
                </c:pt>
                <c:pt idx="176">
                  <c:v>983</c:v>
                </c:pt>
                <c:pt idx="177">
                  <c:v>996</c:v>
                </c:pt>
                <c:pt idx="178">
                  <c:v>1001</c:v>
                </c:pt>
                <c:pt idx="179">
                  <c:v>1007</c:v>
                </c:pt>
                <c:pt idx="180">
                  <c:v>1019</c:v>
                </c:pt>
                <c:pt idx="181">
                  <c:v>1036</c:v>
                </c:pt>
                <c:pt idx="182">
                  <c:v>1037</c:v>
                </c:pt>
                <c:pt idx="183">
                  <c:v>1046</c:v>
                </c:pt>
                <c:pt idx="184">
                  <c:v>1057</c:v>
                </c:pt>
                <c:pt idx="185">
                  <c:v>1060</c:v>
                </c:pt>
                <c:pt idx="186">
                  <c:v>1088</c:v>
                </c:pt>
                <c:pt idx="187">
                  <c:v>1087</c:v>
                </c:pt>
                <c:pt idx="188">
                  <c:v>1117</c:v>
                </c:pt>
                <c:pt idx="189">
                  <c:v>1128</c:v>
                </c:pt>
                <c:pt idx="190">
                  <c:v>1121</c:v>
                </c:pt>
                <c:pt idx="191">
                  <c:v>1156</c:v>
                </c:pt>
                <c:pt idx="192">
                  <c:v>1156</c:v>
                </c:pt>
                <c:pt idx="193">
                  <c:v>1180</c:v>
                </c:pt>
                <c:pt idx="194">
                  <c:v>1196</c:v>
                </c:pt>
                <c:pt idx="195">
                  <c:v>1207</c:v>
                </c:pt>
              </c:numCache>
            </c:numRef>
          </c:val>
        </c:ser>
        <c:marker val="1"/>
        <c:axId val="41362560"/>
        <c:axId val="41364096"/>
      </c:lineChart>
      <c:dateAx>
        <c:axId val="41362560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41364096"/>
        <c:crosses val="autoZero"/>
        <c:auto val="1"/>
        <c:lblOffset val="100"/>
        <c:baseTimeUnit val="days"/>
      </c:dateAx>
      <c:valAx>
        <c:axId val="41364096"/>
        <c:scaling>
          <c:orientation val="minMax"/>
        </c:scaling>
        <c:delete val="1"/>
        <c:axPos val="l"/>
        <c:numFmt formatCode="0" sourceLinked="1"/>
        <c:tickLblPos val="none"/>
        <c:crossAx val="41362560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Лист1!$AP$1:$IC$1</c:f>
              <c:numCache>
                <c:formatCode>d/m;@</c:formatCode>
                <c:ptCount val="196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</c:numCache>
            </c:numRef>
          </c:cat>
          <c:val>
            <c:numRef>
              <c:f>Лист1!$AP$9:$IC$9</c:f>
              <c:numCache>
                <c:formatCode>0</c:formatCode>
                <c:ptCount val="196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  <c:pt idx="164" formatCode="General">
                  <c:v>102772</c:v>
                </c:pt>
                <c:pt idx="165" formatCode="General">
                  <c:v>103558</c:v>
                </c:pt>
                <c:pt idx="166" formatCode="General">
                  <c:v>106084</c:v>
                </c:pt>
                <c:pt idx="167" formatCode="General">
                  <c:v>106938</c:v>
                </c:pt>
                <c:pt idx="168" formatCode="General">
                  <c:v>107812</c:v>
                </c:pt>
                <c:pt idx="169" formatCode="General">
                  <c:v>108690</c:v>
                </c:pt>
                <c:pt idx="170" formatCode="General">
                  <c:v>109584</c:v>
                </c:pt>
                <c:pt idx="171" formatCode="General">
                  <c:v>111432</c:v>
                </c:pt>
                <c:pt idx="172" formatCode="General">
                  <c:v>111183</c:v>
                </c:pt>
                <c:pt idx="173" formatCode="General">
                  <c:v>113469</c:v>
                </c:pt>
                <c:pt idx="174" formatCode="General">
                  <c:v>114424</c:v>
                </c:pt>
                <c:pt idx="175" formatCode="General">
                  <c:v>115394</c:v>
                </c:pt>
                <c:pt idx="176" formatCode="General">
                  <c:v>116248</c:v>
                </c:pt>
                <c:pt idx="177">
                  <c:v>117244</c:v>
                </c:pt>
                <c:pt idx="178" formatCode="General">
                  <c:v>118374</c:v>
                </c:pt>
                <c:pt idx="179" formatCode="General">
                  <c:v>119381</c:v>
                </c:pt>
                <c:pt idx="180" formatCode="General">
                  <c:v>120400</c:v>
                </c:pt>
                <c:pt idx="181" formatCode="General">
                  <c:v>121436</c:v>
                </c:pt>
                <c:pt idx="182" formatCode="General">
                  <c:v>122473</c:v>
                </c:pt>
                <c:pt idx="183" formatCode="General">
                  <c:v>123519</c:v>
                </c:pt>
                <c:pt idx="184" formatCode="General">
                  <c:v>126678</c:v>
                </c:pt>
                <c:pt idx="185" formatCode="General">
                  <c:v>127738</c:v>
                </c:pt>
                <c:pt idx="186" formatCode="General">
                  <c:v>129896</c:v>
                </c:pt>
                <c:pt idx="187" formatCode="General">
                  <c:v>130983</c:v>
                </c:pt>
                <c:pt idx="188" formatCode="General">
                  <c:v>131912</c:v>
                </c:pt>
                <c:pt idx="189" formatCode="General">
                  <c:v>134344</c:v>
                </c:pt>
                <c:pt idx="190" formatCode="General">
                  <c:v>135465</c:v>
                </c:pt>
                <c:pt idx="191" formatCode="General">
                  <c:v>136621</c:v>
                </c:pt>
                <c:pt idx="192" formatCode="General">
                  <c:v>137777</c:v>
                </c:pt>
                <c:pt idx="193" formatCode="General">
                  <c:v>138957</c:v>
                </c:pt>
                <c:pt idx="194" formatCode="General">
                  <c:v>140019</c:v>
                </c:pt>
                <c:pt idx="195" formatCode="General">
                  <c:v>142555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Лист1!$AP$1:$IC$1</c:f>
              <c:numCache>
                <c:formatCode>d/m;@</c:formatCode>
                <c:ptCount val="196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</c:numCache>
            </c:numRef>
          </c:cat>
          <c:val>
            <c:numRef>
              <c:f>Лист1!$AP$11:$IC$11</c:f>
              <c:numCache>
                <c:formatCode>General</c:formatCode>
                <c:ptCount val="196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  <c:pt idx="164">
                  <c:v>82531</c:v>
                </c:pt>
                <c:pt idx="165">
                  <c:v>82934</c:v>
                </c:pt>
                <c:pt idx="166">
                  <c:v>83960</c:v>
                </c:pt>
                <c:pt idx="167">
                  <c:v>84490</c:v>
                </c:pt>
                <c:pt idx="168">
                  <c:v>84994</c:v>
                </c:pt>
                <c:pt idx="169">
                  <c:v>85504</c:v>
                </c:pt>
                <c:pt idx="170">
                  <c:v>86007</c:v>
                </c:pt>
                <c:pt idx="171">
                  <c:v>87185</c:v>
                </c:pt>
                <c:pt idx="172">
                  <c:v>86368</c:v>
                </c:pt>
                <c:pt idx="173">
                  <c:v>88367</c:v>
                </c:pt>
                <c:pt idx="174">
                  <c:v>89042</c:v>
                </c:pt>
                <c:pt idx="175">
                  <c:v>89640</c:v>
                </c:pt>
                <c:pt idx="176">
                  <c:v>90211</c:v>
                </c:pt>
                <c:pt idx="177">
                  <c:v>90856</c:v>
                </c:pt>
                <c:pt idx="178">
                  <c:v>91366</c:v>
                </c:pt>
                <c:pt idx="179">
                  <c:v>91833</c:v>
                </c:pt>
                <c:pt idx="180">
                  <c:v>92482</c:v>
                </c:pt>
                <c:pt idx="181">
                  <c:v>93148</c:v>
                </c:pt>
                <c:pt idx="182">
                  <c:v>93850</c:v>
                </c:pt>
                <c:pt idx="183">
                  <c:v>94591</c:v>
                </c:pt>
                <c:pt idx="184">
                  <c:v>96558</c:v>
                </c:pt>
                <c:pt idx="185">
                  <c:v>97379</c:v>
                </c:pt>
                <c:pt idx="186">
                  <c:v>98908</c:v>
                </c:pt>
                <c:pt idx="187">
                  <c:v>99788</c:v>
                </c:pt>
                <c:pt idx="188">
                  <c:v>102431</c:v>
                </c:pt>
                <c:pt idx="189">
                  <c:v>103150</c:v>
                </c:pt>
                <c:pt idx="190">
                  <c:v>104292</c:v>
                </c:pt>
                <c:pt idx="191">
                  <c:v>105796</c:v>
                </c:pt>
                <c:pt idx="192">
                  <c:v>107422</c:v>
                </c:pt>
                <c:pt idx="193">
                  <c:v>108799</c:v>
                </c:pt>
                <c:pt idx="194">
                  <c:v>110996</c:v>
                </c:pt>
                <c:pt idx="195">
                  <c:v>112094</c:v>
                </c:pt>
              </c:numCache>
            </c:numRef>
          </c:val>
        </c:ser>
        <c:marker val="1"/>
        <c:axId val="78965376"/>
        <c:axId val="78967168"/>
      </c:lineChart>
      <c:dateAx>
        <c:axId val="7896537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78967168"/>
        <c:crosses val="autoZero"/>
        <c:auto val="1"/>
        <c:lblOffset val="100"/>
        <c:baseTimeUnit val="days"/>
      </c:dateAx>
      <c:valAx>
        <c:axId val="7896716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789653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656"/>
          <c:y val="0.37722226189163494"/>
          <c:w val="0.41438976990623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6E4A5-95A7-433C-ABB8-6DFF1C84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Кравченко</cp:lastModifiedBy>
  <cp:revision>13</cp:revision>
  <cp:lastPrinted>2020-08-11T08:42:00Z</cp:lastPrinted>
  <dcterms:created xsi:type="dcterms:W3CDTF">2020-11-02T08:49:00Z</dcterms:created>
  <dcterms:modified xsi:type="dcterms:W3CDTF">2020-11-16T08:58:00Z</dcterms:modified>
</cp:coreProperties>
</file>